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91274C" w:rsidTr="0091274C">
        <w:tc>
          <w:tcPr>
            <w:tcW w:w="4392" w:type="dxa"/>
          </w:tcPr>
          <w:p w:rsidR="0091274C" w:rsidRDefault="0091274C" w:rsidP="0091274C">
            <w:pPr>
              <w:pStyle w:val="ListParagraph"/>
              <w:numPr>
                <w:ilvl w:val="0"/>
                <w:numId w:val="1"/>
              </w:numPr>
            </w:pPr>
            <w:r>
              <w:t xml:space="preserve"> Appropriate student-teacher ratios are maintained.</w:t>
            </w:r>
          </w:p>
        </w:tc>
        <w:tc>
          <w:tcPr>
            <w:tcW w:w="4392" w:type="dxa"/>
          </w:tcPr>
          <w:p w:rsidR="0091274C" w:rsidRDefault="0091274C"/>
        </w:tc>
        <w:tc>
          <w:tcPr>
            <w:tcW w:w="4392" w:type="dxa"/>
          </w:tcPr>
          <w:p w:rsidR="0091274C" w:rsidRDefault="0091274C">
            <w:r>
              <w:t>Class sizes are uneven and are not less than or equal to 15:1 ratio.</w:t>
            </w:r>
          </w:p>
        </w:tc>
      </w:tr>
      <w:tr w:rsidR="0091274C" w:rsidTr="0091274C">
        <w:tc>
          <w:tcPr>
            <w:tcW w:w="4392" w:type="dxa"/>
          </w:tcPr>
          <w:p w:rsidR="0091274C" w:rsidRDefault="0091274C" w:rsidP="0091274C">
            <w:pPr>
              <w:pStyle w:val="ListParagraph"/>
              <w:numPr>
                <w:ilvl w:val="0"/>
                <w:numId w:val="1"/>
              </w:numPr>
            </w:pPr>
            <w:r>
              <w:t xml:space="preserve"> Appropriate equipment and technology are available and maintained.</w:t>
            </w:r>
          </w:p>
        </w:tc>
        <w:tc>
          <w:tcPr>
            <w:tcW w:w="4392" w:type="dxa"/>
          </w:tcPr>
          <w:p w:rsidR="0091274C" w:rsidRDefault="0091274C">
            <w:r>
              <w:t xml:space="preserve">Laptops are available at both sites. Classroom sets of </w:t>
            </w:r>
            <w:proofErr w:type="spellStart"/>
            <w:r>
              <w:t>ipads</w:t>
            </w:r>
            <w:proofErr w:type="spellEnd"/>
            <w:r>
              <w:t xml:space="preserve"> are available at both sites.  The juniors at both sites have kindles.  Airliners and </w:t>
            </w:r>
            <w:proofErr w:type="spellStart"/>
            <w:r>
              <w:t>smartboards</w:t>
            </w:r>
            <w:proofErr w:type="spellEnd"/>
            <w:r>
              <w:t xml:space="preserve"> are also available for teachers to use.  Both sites have a </w:t>
            </w:r>
            <w:proofErr w:type="spellStart"/>
            <w:r>
              <w:t>polycom</w:t>
            </w:r>
            <w:proofErr w:type="spellEnd"/>
            <w:r>
              <w:t xml:space="preserve"> for teleconferencing.  Both sites have graphing calculators for use in math classes.  Various computer programs are available at both sites.</w:t>
            </w:r>
          </w:p>
        </w:tc>
        <w:tc>
          <w:tcPr>
            <w:tcW w:w="4392" w:type="dxa"/>
          </w:tcPr>
          <w:p w:rsidR="0091274C" w:rsidRDefault="0091274C">
            <w:r>
              <w:t>The laptops are not being maintained and updated regularly.  Computer software needs updating.</w:t>
            </w:r>
          </w:p>
        </w:tc>
      </w:tr>
      <w:tr w:rsidR="0091274C" w:rsidTr="0091274C">
        <w:tc>
          <w:tcPr>
            <w:tcW w:w="4392" w:type="dxa"/>
          </w:tcPr>
          <w:p w:rsidR="0091274C" w:rsidRDefault="0091274C" w:rsidP="0091274C">
            <w:pPr>
              <w:pStyle w:val="ListParagraph"/>
              <w:numPr>
                <w:ilvl w:val="0"/>
                <w:numId w:val="1"/>
              </w:numPr>
            </w:pPr>
            <w:r>
              <w:t xml:space="preserve"> Appropriate facilities to support research are available.</w:t>
            </w:r>
          </w:p>
        </w:tc>
        <w:tc>
          <w:tcPr>
            <w:tcW w:w="4392" w:type="dxa"/>
          </w:tcPr>
          <w:p w:rsidR="0091274C" w:rsidRDefault="0091274C">
            <w:r>
              <w:t>At the Danville site researchers are available for the seniors to partner with on their senior research projects.  Both sites have a fully equipped science laboratory for student use.</w:t>
            </w:r>
          </w:p>
          <w:p w:rsidR="0091274C" w:rsidRDefault="0091274C">
            <w:r>
              <w:t>At the Martinsville site Dr. Moore from the Virginia Natural History Museum has worked with the juniors on a project.  A few seniors have also partnered with researchers at the museum on their senior research projects.</w:t>
            </w:r>
          </w:p>
        </w:tc>
        <w:tc>
          <w:tcPr>
            <w:tcW w:w="4392" w:type="dxa"/>
          </w:tcPr>
          <w:p w:rsidR="0091274C" w:rsidRDefault="0091274C"/>
        </w:tc>
      </w:tr>
      <w:tr w:rsidR="0091274C" w:rsidTr="0091274C">
        <w:tc>
          <w:tcPr>
            <w:tcW w:w="4392" w:type="dxa"/>
          </w:tcPr>
          <w:p w:rsidR="0091274C" w:rsidRDefault="0091274C" w:rsidP="0091274C">
            <w:pPr>
              <w:pStyle w:val="ListParagraph"/>
              <w:numPr>
                <w:ilvl w:val="0"/>
                <w:numId w:val="1"/>
              </w:numPr>
            </w:pPr>
            <w:r>
              <w:t xml:space="preserve"> Facilities encourage flexible grouping arrangements.  </w:t>
            </w:r>
          </w:p>
        </w:tc>
        <w:tc>
          <w:tcPr>
            <w:tcW w:w="4392" w:type="dxa"/>
          </w:tcPr>
          <w:p w:rsidR="0091274C" w:rsidRDefault="00B52CF0">
            <w:r>
              <w:t>Space is flexible and students are placed in groups when needed.</w:t>
            </w:r>
          </w:p>
        </w:tc>
        <w:tc>
          <w:tcPr>
            <w:tcW w:w="4392" w:type="dxa"/>
          </w:tcPr>
          <w:p w:rsidR="0091274C" w:rsidRDefault="0091274C"/>
        </w:tc>
      </w:tr>
    </w:tbl>
    <w:p w:rsidR="00A90B5D" w:rsidRDefault="00A90B5D"/>
    <w:p w:rsidR="00A90B5D" w:rsidRDefault="00A90B5D" w:rsidP="00A90B5D">
      <w:pPr>
        <w:tabs>
          <w:tab w:val="left" w:pos="3675"/>
        </w:tabs>
      </w:pPr>
      <w:r>
        <w:tab/>
      </w:r>
    </w:p>
    <w:p w:rsidR="00A90B5D" w:rsidRDefault="00A90B5D" w:rsidP="00A90B5D">
      <w:pPr>
        <w:tabs>
          <w:tab w:val="left" w:pos="3675"/>
        </w:tabs>
      </w:pPr>
    </w:p>
    <w:p w:rsidR="00A90B5D" w:rsidRDefault="00A90B5D" w:rsidP="00A90B5D">
      <w:pPr>
        <w:tabs>
          <w:tab w:val="left" w:pos="3675"/>
        </w:tabs>
      </w:pPr>
    </w:p>
    <w:p w:rsidR="00A90B5D" w:rsidRDefault="00A90B5D" w:rsidP="00A90B5D">
      <w:pPr>
        <w:tabs>
          <w:tab w:val="left" w:pos="3675"/>
        </w:tabs>
      </w:pPr>
    </w:p>
    <w:p w:rsidR="00A90B5D" w:rsidRPr="00A90B5D" w:rsidRDefault="00A90B5D" w:rsidP="00A90B5D">
      <w:pPr>
        <w:tabs>
          <w:tab w:val="left" w:pos="367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A90B5D" w:rsidTr="00A90B5D">
        <w:tc>
          <w:tcPr>
            <w:tcW w:w="4392" w:type="dxa"/>
          </w:tcPr>
          <w:p w:rsidR="00A90B5D" w:rsidRDefault="00A90B5D" w:rsidP="00A90B5D">
            <w:pPr>
              <w:pStyle w:val="ListParagraph"/>
              <w:numPr>
                <w:ilvl w:val="0"/>
                <w:numId w:val="2"/>
              </w:numPr>
              <w:tabs>
                <w:tab w:val="left" w:pos="3675"/>
              </w:tabs>
            </w:pPr>
            <w:r>
              <w:lastRenderedPageBreak/>
              <w:t xml:space="preserve"> Appropriately qualified personnel direct the services for GS students.</w:t>
            </w:r>
          </w:p>
        </w:tc>
        <w:tc>
          <w:tcPr>
            <w:tcW w:w="4392" w:type="dxa"/>
          </w:tcPr>
          <w:p w:rsidR="00A90B5D" w:rsidRDefault="00A90B5D" w:rsidP="00A90B5D">
            <w:pPr>
              <w:tabs>
                <w:tab w:val="left" w:pos="3675"/>
              </w:tabs>
            </w:pPr>
            <w:r>
              <w:t xml:space="preserve">All teachers possess a Master’s Degree and are able to be adjunct faculty with the local community colleges so the students may earn dual-enrollment credits.  </w:t>
            </w:r>
          </w:p>
        </w:tc>
        <w:tc>
          <w:tcPr>
            <w:tcW w:w="4392" w:type="dxa"/>
          </w:tcPr>
          <w:p w:rsidR="00A90B5D" w:rsidRDefault="00A90B5D" w:rsidP="00A90B5D">
            <w:pPr>
              <w:tabs>
                <w:tab w:val="left" w:pos="3675"/>
              </w:tabs>
            </w:pPr>
            <w:r>
              <w:t>Not all teachers have the gifted endorsement.</w:t>
            </w:r>
          </w:p>
        </w:tc>
      </w:tr>
      <w:tr w:rsidR="00A90B5D" w:rsidTr="00A90B5D">
        <w:tc>
          <w:tcPr>
            <w:tcW w:w="4392" w:type="dxa"/>
          </w:tcPr>
          <w:p w:rsidR="00A90B5D" w:rsidRDefault="00A90B5D" w:rsidP="00A90B5D">
            <w:pPr>
              <w:pStyle w:val="ListParagraph"/>
              <w:numPr>
                <w:ilvl w:val="0"/>
                <w:numId w:val="2"/>
              </w:numPr>
              <w:tabs>
                <w:tab w:val="left" w:pos="3675"/>
              </w:tabs>
            </w:pPr>
            <w:r>
              <w:t xml:space="preserve"> The GS is an integral part of the gifted education program.</w:t>
            </w:r>
          </w:p>
        </w:tc>
        <w:tc>
          <w:tcPr>
            <w:tcW w:w="4392" w:type="dxa"/>
          </w:tcPr>
          <w:p w:rsidR="00A90B5D" w:rsidRDefault="00A90B5D" w:rsidP="00A90B5D">
            <w:pPr>
              <w:tabs>
                <w:tab w:val="left" w:pos="3675"/>
              </w:tabs>
            </w:pPr>
            <w:r>
              <w:t>GS is the only gifted program for the 11</w:t>
            </w:r>
            <w:r w:rsidRPr="00A90B5D">
              <w:rPr>
                <w:vertAlign w:val="superscript"/>
              </w:rPr>
              <w:t>th</w:t>
            </w:r>
            <w:r>
              <w:t xml:space="preserve"> and 12</w:t>
            </w:r>
            <w:r w:rsidRPr="00A90B5D">
              <w:rPr>
                <w:vertAlign w:val="superscript"/>
              </w:rPr>
              <w:t>th</w:t>
            </w:r>
            <w:r>
              <w:t xml:space="preserve"> graders in the four local school divisions.</w:t>
            </w:r>
          </w:p>
        </w:tc>
        <w:tc>
          <w:tcPr>
            <w:tcW w:w="4392" w:type="dxa"/>
          </w:tcPr>
          <w:p w:rsidR="00A90B5D" w:rsidRDefault="00A90B5D" w:rsidP="00A90B5D">
            <w:pPr>
              <w:tabs>
                <w:tab w:val="left" w:pos="3675"/>
              </w:tabs>
            </w:pPr>
            <w:r>
              <w:t>Look at expanding to serve 9</w:t>
            </w:r>
            <w:r w:rsidRPr="00A90B5D">
              <w:rPr>
                <w:vertAlign w:val="superscript"/>
              </w:rPr>
              <w:t>th</w:t>
            </w:r>
            <w:r>
              <w:t xml:space="preserve"> and 10</w:t>
            </w:r>
            <w:r w:rsidRPr="00A90B5D">
              <w:rPr>
                <w:vertAlign w:val="superscript"/>
              </w:rPr>
              <w:t>th</w:t>
            </w:r>
            <w:r>
              <w:t xml:space="preserve"> grades.</w:t>
            </w:r>
          </w:p>
        </w:tc>
      </w:tr>
      <w:tr w:rsidR="00A90B5D" w:rsidTr="00A90B5D">
        <w:tc>
          <w:tcPr>
            <w:tcW w:w="4392" w:type="dxa"/>
          </w:tcPr>
          <w:p w:rsidR="00A90B5D" w:rsidRDefault="00A90B5D" w:rsidP="00A90B5D">
            <w:pPr>
              <w:pStyle w:val="ListParagraph"/>
              <w:numPr>
                <w:ilvl w:val="0"/>
                <w:numId w:val="2"/>
              </w:numPr>
              <w:tabs>
                <w:tab w:val="left" w:pos="3675"/>
              </w:tabs>
            </w:pPr>
            <w:r>
              <w:t xml:space="preserve"> GS programming includes positive working relationships with constituency and advocacy groups.</w:t>
            </w:r>
          </w:p>
        </w:tc>
        <w:tc>
          <w:tcPr>
            <w:tcW w:w="4392" w:type="dxa"/>
          </w:tcPr>
          <w:p w:rsidR="00A90B5D" w:rsidRDefault="00A90B5D" w:rsidP="00A90B5D">
            <w:pPr>
              <w:tabs>
                <w:tab w:val="left" w:pos="3675"/>
              </w:tabs>
            </w:pPr>
            <w:r>
              <w:t>Director keeps parents and school system personnel informed via weekly e-mails.  Teachers e-mail and call parents as needed.  Parent/teacher meetings are held in the Fall.  All site gathering is held at the beginning of the school year.</w:t>
            </w:r>
          </w:p>
        </w:tc>
        <w:tc>
          <w:tcPr>
            <w:tcW w:w="4392" w:type="dxa"/>
          </w:tcPr>
          <w:p w:rsidR="00A90B5D" w:rsidRDefault="00A90B5D" w:rsidP="00A90B5D">
            <w:pPr>
              <w:tabs>
                <w:tab w:val="left" w:pos="3675"/>
              </w:tabs>
            </w:pPr>
            <w:r>
              <w:t xml:space="preserve">Base school guidance counselors need to promote GS better.  GS needs to establish a PTA/PTO </w:t>
            </w:r>
            <w:r w:rsidR="006B7D80">
              <w:t xml:space="preserve">where parents from both sites meet bi-monthly – ½ between both sites. Parent attendance at Governing Board </w:t>
            </w:r>
            <w:proofErr w:type="gramStart"/>
            <w:r w:rsidR="006B7D80">
              <w:t>meetings  needs</w:t>
            </w:r>
            <w:proofErr w:type="gramEnd"/>
            <w:r w:rsidR="006B7D80">
              <w:t xml:space="preserve"> improvement.</w:t>
            </w:r>
          </w:p>
        </w:tc>
      </w:tr>
      <w:tr w:rsidR="00A90B5D" w:rsidTr="00A90B5D">
        <w:tc>
          <w:tcPr>
            <w:tcW w:w="4392" w:type="dxa"/>
          </w:tcPr>
          <w:p w:rsidR="00A90B5D" w:rsidRDefault="006B7D80" w:rsidP="006B7D80">
            <w:pPr>
              <w:pStyle w:val="ListParagraph"/>
              <w:numPr>
                <w:ilvl w:val="0"/>
                <w:numId w:val="2"/>
              </w:numPr>
              <w:tabs>
                <w:tab w:val="left" w:pos="3675"/>
              </w:tabs>
            </w:pPr>
            <w:r>
              <w:t xml:space="preserve"> The GS is managed based on policies and procedures approved by its regional governing board.</w:t>
            </w:r>
          </w:p>
        </w:tc>
        <w:tc>
          <w:tcPr>
            <w:tcW w:w="4392" w:type="dxa"/>
          </w:tcPr>
          <w:p w:rsidR="00A90B5D" w:rsidRDefault="00A90B5D" w:rsidP="00A90B5D">
            <w:pPr>
              <w:tabs>
                <w:tab w:val="left" w:pos="3675"/>
              </w:tabs>
            </w:pPr>
          </w:p>
        </w:tc>
        <w:tc>
          <w:tcPr>
            <w:tcW w:w="4392" w:type="dxa"/>
          </w:tcPr>
          <w:p w:rsidR="00A90B5D" w:rsidRDefault="00A90B5D" w:rsidP="00A90B5D">
            <w:pPr>
              <w:tabs>
                <w:tab w:val="left" w:pos="3675"/>
              </w:tabs>
            </w:pPr>
          </w:p>
        </w:tc>
      </w:tr>
      <w:tr w:rsidR="00A90B5D" w:rsidTr="00A90B5D">
        <w:tc>
          <w:tcPr>
            <w:tcW w:w="4392" w:type="dxa"/>
          </w:tcPr>
          <w:p w:rsidR="00A90B5D" w:rsidRDefault="006B7D80" w:rsidP="006B7D80">
            <w:pPr>
              <w:pStyle w:val="ListParagraph"/>
              <w:numPr>
                <w:ilvl w:val="0"/>
                <w:numId w:val="2"/>
              </w:numPr>
              <w:tabs>
                <w:tab w:val="left" w:pos="3675"/>
              </w:tabs>
            </w:pPr>
            <w:r>
              <w:t xml:space="preserve"> Funding is made available.</w:t>
            </w:r>
          </w:p>
        </w:tc>
        <w:tc>
          <w:tcPr>
            <w:tcW w:w="4392" w:type="dxa"/>
          </w:tcPr>
          <w:p w:rsidR="00A90B5D" w:rsidRDefault="006B7D80" w:rsidP="00A90B5D">
            <w:pPr>
              <w:tabs>
                <w:tab w:val="left" w:pos="3675"/>
              </w:tabs>
            </w:pPr>
            <w:r>
              <w:t>Grant for robotics secured.  State grant for technology secured.</w:t>
            </w:r>
          </w:p>
        </w:tc>
        <w:tc>
          <w:tcPr>
            <w:tcW w:w="4392" w:type="dxa"/>
          </w:tcPr>
          <w:p w:rsidR="00A90B5D" w:rsidRDefault="006B7D80" w:rsidP="00A90B5D">
            <w:pPr>
              <w:tabs>
                <w:tab w:val="left" w:pos="3675"/>
              </w:tabs>
            </w:pPr>
            <w:r>
              <w:t>Secure external funds for the instructional program through grants, establish a foundation.</w:t>
            </w:r>
          </w:p>
        </w:tc>
      </w:tr>
      <w:tr w:rsidR="00A90B5D" w:rsidTr="00A90B5D">
        <w:tc>
          <w:tcPr>
            <w:tcW w:w="4392" w:type="dxa"/>
          </w:tcPr>
          <w:p w:rsidR="00A90B5D" w:rsidRDefault="006B7D80" w:rsidP="006B7D80">
            <w:pPr>
              <w:pStyle w:val="ListParagraph"/>
              <w:numPr>
                <w:ilvl w:val="0"/>
                <w:numId w:val="2"/>
              </w:numPr>
              <w:tabs>
                <w:tab w:val="left" w:pos="3675"/>
              </w:tabs>
            </w:pPr>
            <w:r>
              <w:t xml:space="preserve"> Resources and materials are available to support the efforts of the GS.</w:t>
            </w:r>
          </w:p>
        </w:tc>
        <w:tc>
          <w:tcPr>
            <w:tcW w:w="4392" w:type="dxa"/>
          </w:tcPr>
          <w:p w:rsidR="00A90B5D" w:rsidRDefault="006B7D80" w:rsidP="00A90B5D">
            <w:pPr>
              <w:tabs>
                <w:tab w:val="left" w:pos="3675"/>
              </w:tabs>
            </w:pPr>
            <w:r>
              <w:t>Afternoon planning time is greatly appreciated.  Laboratory supplies are purchased as requested.</w:t>
            </w:r>
            <w:bookmarkStart w:id="0" w:name="_GoBack"/>
            <w:bookmarkEnd w:id="0"/>
          </w:p>
        </w:tc>
        <w:tc>
          <w:tcPr>
            <w:tcW w:w="4392" w:type="dxa"/>
          </w:tcPr>
          <w:p w:rsidR="00A90B5D" w:rsidRDefault="006B7D80" w:rsidP="00A90B5D">
            <w:pPr>
              <w:tabs>
                <w:tab w:val="left" w:pos="3675"/>
              </w:tabs>
            </w:pPr>
            <w:r>
              <w:t xml:space="preserve">School divisions no longer buy textbooks.  </w:t>
            </w:r>
          </w:p>
        </w:tc>
      </w:tr>
    </w:tbl>
    <w:p w:rsidR="00714491" w:rsidRPr="00A90B5D" w:rsidRDefault="00714491" w:rsidP="00A90B5D">
      <w:pPr>
        <w:tabs>
          <w:tab w:val="left" w:pos="3675"/>
        </w:tabs>
      </w:pPr>
    </w:p>
    <w:sectPr w:rsidR="00714491" w:rsidRPr="00A90B5D" w:rsidSect="0091274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86" w:rsidRDefault="001A3786" w:rsidP="00171F9D">
      <w:pPr>
        <w:spacing w:after="0" w:line="240" w:lineRule="auto"/>
      </w:pPr>
      <w:r>
        <w:separator/>
      </w:r>
    </w:p>
  </w:endnote>
  <w:endnote w:type="continuationSeparator" w:id="0">
    <w:p w:rsidR="001A3786" w:rsidRDefault="001A3786" w:rsidP="0017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86" w:rsidRDefault="001A3786" w:rsidP="00171F9D">
      <w:pPr>
        <w:spacing w:after="0" w:line="240" w:lineRule="auto"/>
      </w:pPr>
      <w:r>
        <w:separator/>
      </w:r>
    </w:p>
  </w:footnote>
  <w:footnote w:type="continuationSeparator" w:id="0">
    <w:p w:rsidR="001A3786" w:rsidRDefault="001A3786" w:rsidP="0017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9D" w:rsidRDefault="00171F9D">
    <w:pPr>
      <w:pStyle w:val="Header"/>
    </w:pPr>
  </w:p>
  <w:p w:rsidR="00171F9D" w:rsidRDefault="00171F9D">
    <w:pPr>
      <w:pStyle w:val="Header"/>
    </w:pPr>
  </w:p>
  <w:p w:rsidR="00171F9D" w:rsidRDefault="00171F9D">
    <w:pPr>
      <w:pStyle w:val="Header"/>
    </w:pPr>
  </w:p>
  <w:p w:rsidR="00171F9D" w:rsidRDefault="00171F9D">
    <w:pPr>
      <w:pStyle w:val="Header"/>
    </w:pPr>
    <w:r>
      <w:t xml:space="preserve">        </w:t>
    </w:r>
    <w:r w:rsidR="00A90B5D">
      <w:t>Program Administration and Management</w:t>
    </w:r>
    <w:r>
      <w:tab/>
      <w:t xml:space="preserve">                                  Commendations</w:t>
    </w:r>
    <w:r>
      <w:tab/>
    </w:r>
    <w:r>
      <w:tab/>
      <w:t>Recommendations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4584"/>
    <w:multiLevelType w:val="hybridMultilevel"/>
    <w:tmpl w:val="4678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74B40"/>
    <w:multiLevelType w:val="hybridMultilevel"/>
    <w:tmpl w:val="39F6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4C"/>
    <w:rsid w:val="00171F9D"/>
    <w:rsid w:val="001A3786"/>
    <w:rsid w:val="006B7D80"/>
    <w:rsid w:val="00714491"/>
    <w:rsid w:val="0091274C"/>
    <w:rsid w:val="00A90B5D"/>
    <w:rsid w:val="00B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9D"/>
  </w:style>
  <w:style w:type="paragraph" w:styleId="Footer">
    <w:name w:val="footer"/>
    <w:basedOn w:val="Normal"/>
    <w:link w:val="FooterChar"/>
    <w:uiPriority w:val="99"/>
    <w:unhideWhenUsed/>
    <w:rsid w:val="0017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9D"/>
  </w:style>
  <w:style w:type="paragraph" w:styleId="Footer">
    <w:name w:val="footer"/>
    <w:basedOn w:val="Normal"/>
    <w:link w:val="FooterChar"/>
    <w:uiPriority w:val="99"/>
    <w:unhideWhenUsed/>
    <w:rsid w:val="0017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3</cp:revision>
  <cp:lastPrinted>2012-04-05T14:25:00Z</cp:lastPrinted>
  <dcterms:created xsi:type="dcterms:W3CDTF">2012-04-05T14:12:00Z</dcterms:created>
  <dcterms:modified xsi:type="dcterms:W3CDTF">2012-04-05T14:38:00Z</dcterms:modified>
</cp:coreProperties>
</file>